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1376" w14:textId="04C5F751" w:rsidR="003D7B29" w:rsidRDefault="003D7B29" w:rsidP="003D7B29">
      <w:pPr>
        <w:rPr>
          <w:rFonts w:ascii="Arial" w:hAnsi="Arial" w:cs="Arial"/>
        </w:rPr>
      </w:pPr>
    </w:p>
    <w:p w14:paraId="4BDB5072" w14:textId="77777777" w:rsidR="003D7B29" w:rsidRDefault="003D7B29">
      <w:pPr>
        <w:rPr>
          <w:rFonts w:ascii="Arial" w:hAnsi="Arial" w:cs="Arial"/>
        </w:rPr>
      </w:pPr>
    </w:p>
    <w:p w14:paraId="04EF5D1F" w14:textId="6023BF4A" w:rsidR="00ED05E2" w:rsidRPr="005B4D5D" w:rsidRDefault="00D60BF0">
      <w:pPr>
        <w:rPr>
          <w:rFonts w:ascii="Arial" w:hAnsi="Arial" w:cs="Arial"/>
          <w:b/>
          <w:bCs/>
          <w:color w:val="EE0000"/>
        </w:rPr>
      </w:pPr>
      <w:r w:rsidRPr="005B4D5D">
        <w:rPr>
          <w:rFonts w:ascii="Arial" w:hAnsi="Arial" w:cs="Arial"/>
          <w:b/>
          <w:bCs/>
          <w:color w:val="EE0000"/>
        </w:rPr>
        <w:t>Longer Version</w:t>
      </w:r>
    </w:p>
    <w:p w14:paraId="6537C7B7" w14:textId="77777777" w:rsidR="00D60BF0" w:rsidRPr="005B4D5D" w:rsidRDefault="00D60BF0">
      <w:pPr>
        <w:rPr>
          <w:rFonts w:ascii="Arial" w:hAnsi="Arial" w:cs="Arial"/>
        </w:rPr>
      </w:pPr>
    </w:p>
    <w:p w14:paraId="0BE2075B" w14:textId="763C69DC" w:rsidR="00D60BF0" w:rsidRPr="005B4D5D" w:rsidRDefault="00D60BF0" w:rsidP="00D60BF0">
      <w:pPr>
        <w:rPr>
          <w:rFonts w:ascii="Arial" w:hAnsi="Arial" w:cs="Arial"/>
          <w:b/>
          <w:bCs/>
        </w:rPr>
      </w:pPr>
      <w:r w:rsidRPr="005B4D5D">
        <w:rPr>
          <w:rFonts w:ascii="Arial" w:hAnsi="Arial" w:cs="Arial"/>
          <w:b/>
          <w:bCs/>
        </w:rPr>
        <w:t>W</w:t>
      </w:r>
      <w:r w:rsidR="00BB2284">
        <w:rPr>
          <w:rFonts w:ascii="Arial" w:hAnsi="Arial" w:cs="Arial"/>
          <w:b/>
          <w:bCs/>
        </w:rPr>
        <w:t>GE</w:t>
      </w:r>
      <w:r w:rsidRPr="005B4D5D">
        <w:rPr>
          <w:rFonts w:ascii="Arial" w:hAnsi="Arial" w:cs="Arial"/>
          <w:b/>
          <w:bCs/>
        </w:rPr>
        <w:t>A Employer Statement</w:t>
      </w:r>
    </w:p>
    <w:p w14:paraId="7940D2D8" w14:textId="77777777" w:rsidR="00D60BF0" w:rsidRPr="005B4D5D" w:rsidRDefault="00D60BF0" w:rsidP="00D60BF0">
      <w:pPr>
        <w:rPr>
          <w:rFonts w:ascii="Arial" w:hAnsi="Arial" w:cs="Arial"/>
        </w:rPr>
      </w:pPr>
      <w:r w:rsidRPr="005B4D5D">
        <w:rPr>
          <w:rFonts w:ascii="Arial" w:hAnsi="Arial" w:cs="Arial"/>
          <w:b/>
          <w:bCs/>
        </w:rPr>
        <w:t>HomePlace Living Supports Inc.</w:t>
      </w:r>
      <w:r w:rsidRPr="005B4D5D">
        <w:rPr>
          <w:rFonts w:ascii="Arial" w:hAnsi="Arial" w:cs="Arial"/>
        </w:rPr>
        <w:br/>
      </w:r>
      <w:r w:rsidRPr="005B4D5D">
        <w:rPr>
          <w:rFonts w:ascii="Arial" w:hAnsi="Arial" w:cs="Arial"/>
          <w:b/>
          <w:bCs/>
        </w:rPr>
        <w:t>Reporting Period: 2024–2025</w:t>
      </w:r>
    </w:p>
    <w:p w14:paraId="46E5AFCA" w14:textId="615985C7" w:rsidR="00D60BF0" w:rsidRPr="005B4D5D" w:rsidRDefault="00D60BF0" w:rsidP="00D60BF0">
      <w:pPr>
        <w:rPr>
          <w:rFonts w:ascii="Arial" w:hAnsi="Arial" w:cs="Arial"/>
        </w:rPr>
      </w:pPr>
      <w:r w:rsidRPr="005B4D5D">
        <w:rPr>
          <w:rFonts w:ascii="Arial" w:hAnsi="Arial" w:cs="Arial"/>
        </w:rPr>
        <w:t xml:space="preserve">At HomePlace Living Supports Inc., we are committed to building a workplace grounded in </w:t>
      </w:r>
      <w:r w:rsidRPr="005B4D5D">
        <w:rPr>
          <w:rFonts w:ascii="Arial" w:hAnsi="Arial" w:cs="Arial"/>
          <w:b/>
          <w:bCs/>
        </w:rPr>
        <w:t>Trust, Safety, Respect and Enduring Partnerships</w:t>
      </w:r>
      <w:r w:rsidRPr="005B4D5D">
        <w:rPr>
          <w:rFonts w:ascii="Arial" w:hAnsi="Arial" w:cs="Arial"/>
        </w:rPr>
        <w:t>. These values guide our approach to fostering a fair, inclusive, and equitable environment for all employees.</w:t>
      </w:r>
    </w:p>
    <w:p w14:paraId="7495B404" w14:textId="77777777" w:rsidR="00D60BF0" w:rsidRPr="005B4D5D" w:rsidRDefault="00D60BF0" w:rsidP="00D60BF0">
      <w:pPr>
        <w:rPr>
          <w:rFonts w:ascii="Arial" w:hAnsi="Arial" w:cs="Arial"/>
        </w:rPr>
      </w:pPr>
      <w:r w:rsidRPr="005B4D5D">
        <w:rPr>
          <w:rFonts w:ascii="Arial" w:hAnsi="Arial" w:cs="Arial"/>
        </w:rPr>
        <w:t>As part of our Workplace Gender Equality Agency (WGEA) reporting obligations, we have reviewed our 2024–25 gender equality data. We welcome the opportunity to reflect on our progress and identify practical ways to strengthen gender equity across our organisation.</w:t>
      </w:r>
    </w:p>
    <w:p w14:paraId="2E280347" w14:textId="77777777" w:rsidR="00D60BF0" w:rsidRPr="005B4D5D" w:rsidRDefault="00000000" w:rsidP="00D60BF0">
      <w:pPr>
        <w:rPr>
          <w:rFonts w:ascii="Arial" w:hAnsi="Arial" w:cs="Arial"/>
        </w:rPr>
      </w:pPr>
      <w:r>
        <w:rPr>
          <w:rFonts w:ascii="Arial" w:hAnsi="Arial" w:cs="Arial"/>
        </w:rPr>
        <w:pict w14:anchorId="19A59CCD">
          <v:rect id="_x0000_i1025" style="width:0;height:1.5pt" o:hralign="center" o:hrstd="t" o:hr="t" fillcolor="#a0a0a0" stroked="f"/>
        </w:pict>
      </w:r>
    </w:p>
    <w:p w14:paraId="50127E27" w14:textId="77777777" w:rsidR="00D60BF0" w:rsidRPr="005B4D5D" w:rsidRDefault="00D60BF0" w:rsidP="00D60BF0">
      <w:pPr>
        <w:rPr>
          <w:rFonts w:ascii="Arial" w:hAnsi="Arial" w:cs="Arial"/>
          <w:b/>
          <w:bCs/>
        </w:rPr>
      </w:pPr>
      <w:r w:rsidRPr="005B4D5D">
        <w:rPr>
          <w:rFonts w:ascii="Arial" w:hAnsi="Arial" w:cs="Arial"/>
          <w:b/>
          <w:bCs/>
        </w:rPr>
        <w:t>Our 2024–25 Gender Equality Insights</w:t>
      </w:r>
    </w:p>
    <w:p w14:paraId="707E8352" w14:textId="77777777" w:rsidR="00D60BF0" w:rsidRPr="005B4D5D" w:rsidRDefault="00D60BF0" w:rsidP="00D60BF0">
      <w:pPr>
        <w:rPr>
          <w:rFonts w:ascii="Arial" w:hAnsi="Arial" w:cs="Arial"/>
          <w:b/>
          <w:bCs/>
        </w:rPr>
      </w:pPr>
      <w:r w:rsidRPr="005B4D5D">
        <w:rPr>
          <w:rFonts w:ascii="Arial" w:hAnsi="Arial" w:cs="Arial"/>
          <w:b/>
          <w:bCs/>
        </w:rPr>
        <w:t>Pay Equity</w:t>
      </w:r>
    </w:p>
    <w:p w14:paraId="4080C2DF" w14:textId="77777777" w:rsidR="00D60BF0" w:rsidRPr="005B4D5D" w:rsidRDefault="00D60BF0" w:rsidP="00D60BF0">
      <w:pPr>
        <w:numPr>
          <w:ilvl w:val="0"/>
          <w:numId w:val="2"/>
        </w:numPr>
        <w:rPr>
          <w:rFonts w:ascii="Arial" w:hAnsi="Arial" w:cs="Arial"/>
        </w:rPr>
      </w:pPr>
      <w:r w:rsidRPr="005B4D5D">
        <w:rPr>
          <w:rFonts w:ascii="Arial" w:hAnsi="Arial" w:cs="Arial"/>
          <w:b/>
          <w:bCs/>
        </w:rPr>
        <w:t>Average Total Remuneration Gap:</w:t>
      </w:r>
      <w:r w:rsidRPr="005B4D5D">
        <w:rPr>
          <w:rFonts w:ascii="Arial" w:hAnsi="Arial" w:cs="Arial"/>
        </w:rPr>
        <w:t xml:space="preserve"> 2.5% (men earning slightly more on average)</w:t>
      </w:r>
    </w:p>
    <w:p w14:paraId="26C0B603" w14:textId="77777777" w:rsidR="00D60BF0" w:rsidRPr="005B4D5D" w:rsidRDefault="00D60BF0" w:rsidP="00D60BF0">
      <w:pPr>
        <w:numPr>
          <w:ilvl w:val="0"/>
          <w:numId w:val="2"/>
        </w:numPr>
        <w:rPr>
          <w:rFonts w:ascii="Arial" w:hAnsi="Arial" w:cs="Arial"/>
        </w:rPr>
      </w:pPr>
      <w:r w:rsidRPr="005B4D5D">
        <w:rPr>
          <w:rFonts w:ascii="Arial" w:hAnsi="Arial" w:cs="Arial"/>
          <w:b/>
          <w:bCs/>
        </w:rPr>
        <w:t>Median Total Remuneration Gap:</w:t>
      </w:r>
      <w:r w:rsidRPr="005B4D5D">
        <w:rPr>
          <w:rFonts w:ascii="Arial" w:hAnsi="Arial" w:cs="Arial"/>
        </w:rPr>
        <w:t xml:space="preserve"> 0.0%</w:t>
      </w:r>
    </w:p>
    <w:p w14:paraId="4A135221" w14:textId="77777777" w:rsidR="00D60BF0" w:rsidRPr="005B4D5D" w:rsidRDefault="00D60BF0" w:rsidP="00D60BF0">
      <w:pPr>
        <w:numPr>
          <w:ilvl w:val="0"/>
          <w:numId w:val="2"/>
        </w:numPr>
        <w:rPr>
          <w:rFonts w:ascii="Arial" w:hAnsi="Arial" w:cs="Arial"/>
        </w:rPr>
      </w:pPr>
      <w:r w:rsidRPr="005B4D5D">
        <w:rPr>
          <w:rFonts w:ascii="Arial" w:hAnsi="Arial" w:cs="Arial"/>
          <w:b/>
          <w:bCs/>
        </w:rPr>
        <w:t>Average Base Salary Gap:</w:t>
      </w:r>
      <w:r w:rsidRPr="005B4D5D">
        <w:rPr>
          <w:rFonts w:ascii="Arial" w:hAnsi="Arial" w:cs="Arial"/>
        </w:rPr>
        <w:t xml:space="preserve"> 0.0%</w:t>
      </w:r>
    </w:p>
    <w:p w14:paraId="624288F0" w14:textId="77777777" w:rsidR="00D60BF0" w:rsidRPr="005B4D5D" w:rsidRDefault="00D60BF0" w:rsidP="00D60BF0">
      <w:pPr>
        <w:numPr>
          <w:ilvl w:val="0"/>
          <w:numId w:val="2"/>
        </w:numPr>
        <w:rPr>
          <w:rFonts w:ascii="Arial" w:hAnsi="Arial" w:cs="Arial"/>
        </w:rPr>
      </w:pPr>
      <w:r w:rsidRPr="005B4D5D">
        <w:rPr>
          <w:rFonts w:ascii="Arial" w:hAnsi="Arial" w:cs="Arial"/>
          <w:b/>
          <w:bCs/>
        </w:rPr>
        <w:t>Median Base Salary Gap:</w:t>
      </w:r>
      <w:r w:rsidRPr="005B4D5D">
        <w:rPr>
          <w:rFonts w:ascii="Arial" w:hAnsi="Arial" w:cs="Arial"/>
        </w:rPr>
        <w:t xml:space="preserve"> 2.5%</w:t>
      </w:r>
    </w:p>
    <w:p w14:paraId="2D8C4DEF" w14:textId="3C8F0C6E" w:rsidR="00D60BF0" w:rsidRPr="005B4D5D" w:rsidRDefault="00D60BF0" w:rsidP="00D60BF0">
      <w:pPr>
        <w:rPr>
          <w:rFonts w:ascii="Arial" w:hAnsi="Arial" w:cs="Arial"/>
        </w:rPr>
      </w:pPr>
      <w:r w:rsidRPr="005B4D5D">
        <w:rPr>
          <w:rFonts w:ascii="Arial" w:hAnsi="Arial" w:cs="Arial"/>
        </w:rPr>
        <w:t xml:space="preserve">These results show that our organisation maintains a </w:t>
      </w:r>
      <w:r w:rsidRPr="005B4D5D">
        <w:rPr>
          <w:rFonts w:ascii="Arial" w:hAnsi="Arial" w:cs="Arial"/>
          <w:b/>
          <w:bCs/>
        </w:rPr>
        <w:t>low overall gender pay gap</w:t>
      </w:r>
      <w:r w:rsidRPr="005B4D5D">
        <w:rPr>
          <w:rFonts w:ascii="Arial" w:hAnsi="Arial" w:cs="Arial"/>
        </w:rPr>
        <w:t>, with no median gap in total remuneration and no difference in average base salary. This reflects positively on our consistent approach to structured pay and role-based remuneration.</w:t>
      </w:r>
    </w:p>
    <w:p w14:paraId="7A968F21" w14:textId="77777777" w:rsidR="00D60BF0" w:rsidRPr="005B4D5D" w:rsidRDefault="00000000" w:rsidP="00D60BF0">
      <w:pPr>
        <w:rPr>
          <w:rFonts w:ascii="Arial" w:hAnsi="Arial" w:cs="Arial"/>
        </w:rPr>
      </w:pPr>
      <w:r>
        <w:rPr>
          <w:rFonts w:ascii="Arial" w:hAnsi="Arial" w:cs="Arial"/>
        </w:rPr>
        <w:pict w14:anchorId="017D110F">
          <v:rect id="_x0000_i1026" style="width:0;height:1.5pt" o:hralign="center" o:hrstd="t" o:hr="t" fillcolor="#a0a0a0" stroked="f"/>
        </w:pict>
      </w:r>
    </w:p>
    <w:p w14:paraId="7CFDE5DD" w14:textId="77777777" w:rsidR="00D60BF0" w:rsidRPr="005B4D5D" w:rsidRDefault="00D60BF0" w:rsidP="00D60BF0">
      <w:pPr>
        <w:rPr>
          <w:rFonts w:ascii="Arial" w:hAnsi="Arial" w:cs="Arial"/>
          <w:b/>
          <w:bCs/>
        </w:rPr>
      </w:pPr>
      <w:r w:rsidRPr="005B4D5D">
        <w:rPr>
          <w:rFonts w:ascii="Arial" w:hAnsi="Arial" w:cs="Arial"/>
          <w:b/>
          <w:bCs/>
        </w:rPr>
        <w:t>Representation Across the Organisation</w:t>
      </w:r>
    </w:p>
    <w:p w14:paraId="3368394F" w14:textId="77777777" w:rsidR="00D60BF0" w:rsidRPr="005B4D5D" w:rsidRDefault="00D60BF0" w:rsidP="00D60BF0">
      <w:pPr>
        <w:rPr>
          <w:rFonts w:ascii="Arial" w:hAnsi="Arial" w:cs="Arial"/>
          <w:b/>
          <w:bCs/>
        </w:rPr>
      </w:pPr>
      <w:r w:rsidRPr="005B4D5D">
        <w:rPr>
          <w:rFonts w:ascii="Arial" w:hAnsi="Arial" w:cs="Arial"/>
          <w:b/>
          <w:bCs/>
        </w:rPr>
        <w:t>Leadership and Management</w:t>
      </w:r>
    </w:p>
    <w:p w14:paraId="406B6670" w14:textId="77777777" w:rsidR="00D60BF0" w:rsidRPr="005B4D5D" w:rsidRDefault="00D60BF0" w:rsidP="00D60BF0">
      <w:pPr>
        <w:numPr>
          <w:ilvl w:val="0"/>
          <w:numId w:val="3"/>
        </w:numPr>
        <w:rPr>
          <w:rFonts w:ascii="Arial" w:hAnsi="Arial" w:cs="Arial"/>
        </w:rPr>
      </w:pPr>
      <w:r w:rsidRPr="005B4D5D">
        <w:rPr>
          <w:rFonts w:ascii="Arial" w:hAnsi="Arial" w:cs="Arial"/>
          <w:b/>
          <w:bCs/>
        </w:rPr>
        <w:t>CEO / Head of Business / Key Management Personnel:</w:t>
      </w:r>
      <w:r w:rsidRPr="005B4D5D">
        <w:rPr>
          <w:rFonts w:ascii="Arial" w:hAnsi="Arial" w:cs="Arial"/>
        </w:rPr>
        <w:t xml:space="preserve"> 50% women, 50% men</w:t>
      </w:r>
    </w:p>
    <w:p w14:paraId="7345AF40" w14:textId="77777777" w:rsidR="00D60BF0" w:rsidRPr="005B4D5D" w:rsidRDefault="00D60BF0" w:rsidP="00D60BF0">
      <w:pPr>
        <w:numPr>
          <w:ilvl w:val="0"/>
          <w:numId w:val="3"/>
        </w:numPr>
        <w:rPr>
          <w:rFonts w:ascii="Arial" w:hAnsi="Arial" w:cs="Arial"/>
        </w:rPr>
      </w:pPr>
      <w:r w:rsidRPr="005B4D5D">
        <w:rPr>
          <w:rFonts w:ascii="Arial" w:hAnsi="Arial" w:cs="Arial"/>
          <w:b/>
          <w:bCs/>
        </w:rPr>
        <w:t>Managers:</w:t>
      </w:r>
      <w:r w:rsidRPr="005B4D5D">
        <w:rPr>
          <w:rFonts w:ascii="Arial" w:hAnsi="Arial" w:cs="Arial"/>
        </w:rPr>
        <w:t xml:space="preserve"> 50% women, 50% men</w:t>
      </w:r>
    </w:p>
    <w:p w14:paraId="53611EEA" w14:textId="5283298A" w:rsidR="00D60BF0" w:rsidRPr="005B4D5D" w:rsidRDefault="00D60BF0" w:rsidP="00D60BF0">
      <w:pPr>
        <w:rPr>
          <w:rFonts w:ascii="Arial" w:hAnsi="Arial" w:cs="Arial"/>
        </w:rPr>
      </w:pPr>
      <w:r w:rsidRPr="005B4D5D">
        <w:rPr>
          <w:rFonts w:ascii="Arial" w:hAnsi="Arial" w:cs="Arial"/>
        </w:rPr>
        <w:t xml:space="preserve">We are proud to demonstrate </w:t>
      </w:r>
      <w:r w:rsidRPr="005B4D5D">
        <w:rPr>
          <w:rFonts w:ascii="Arial" w:hAnsi="Arial" w:cs="Arial"/>
          <w:b/>
          <w:bCs/>
        </w:rPr>
        <w:t>gender-balanced representation</w:t>
      </w:r>
      <w:r w:rsidRPr="005B4D5D">
        <w:rPr>
          <w:rFonts w:ascii="Arial" w:hAnsi="Arial" w:cs="Arial"/>
        </w:rPr>
        <w:t xml:space="preserve"> at leadership and management levels.</w:t>
      </w:r>
    </w:p>
    <w:p w14:paraId="4FEBC9CE" w14:textId="77777777" w:rsidR="00D60BF0" w:rsidRPr="005B4D5D" w:rsidRDefault="00D60BF0" w:rsidP="00D60BF0">
      <w:pPr>
        <w:rPr>
          <w:rFonts w:ascii="Arial" w:hAnsi="Arial" w:cs="Arial"/>
          <w:b/>
          <w:bCs/>
        </w:rPr>
      </w:pPr>
      <w:r w:rsidRPr="005B4D5D">
        <w:rPr>
          <w:rFonts w:ascii="Arial" w:hAnsi="Arial" w:cs="Arial"/>
          <w:b/>
          <w:bCs/>
        </w:rPr>
        <w:t>Non</w:t>
      </w:r>
      <w:r w:rsidRPr="005B4D5D">
        <w:rPr>
          <w:rFonts w:ascii="Arial" w:hAnsi="Arial" w:cs="Arial"/>
          <w:b/>
          <w:bCs/>
        </w:rPr>
        <w:noBreakHyphen/>
        <w:t>Manager Roles</w:t>
      </w:r>
    </w:p>
    <w:p w14:paraId="23A9B2AA" w14:textId="77777777" w:rsidR="00D60BF0" w:rsidRPr="005B4D5D" w:rsidRDefault="00D60BF0" w:rsidP="00D60BF0">
      <w:pPr>
        <w:numPr>
          <w:ilvl w:val="0"/>
          <w:numId w:val="4"/>
        </w:numPr>
        <w:rPr>
          <w:rFonts w:ascii="Arial" w:hAnsi="Arial" w:cs="Arial"/>
        </w:rPr>
      </w:pPr>
      <w:r w:rsidRPr="005B4D5D">
        <w:rPr>
          <w:rFonts w:ascii="Arial" w:hAnsi="Arial" w:cs="Arial"/>
          <w:b/>
          <w:bCs/>
        </w:rPr>
        <w:t>Non</w:t>
      </w:r>
      <w:r w:rsidRPr="005B4D5D">
        <w:rPr>
          <w:rFonts w:ascii="Arial" w:hAnsi="Arial" w:cs="Arial"/>
          <w:b/>
          <w:bCs/>
        </w:rPr>
        <w:noBreakHyphen/>
        <w:t>Managers:</w:t>
      </w:r>
      <w:r w:rsidRPr="005B4D5D">
        <w:rPr>
          <w:rFonts w:ascii="Arial" w:hAnsi="Arial" w:cs="Arial"/>
        </w:rPr>
        <w:t xml:space="preserve"> 29% women, 71% men</w:t>
      </w:r>
    </w:p>
    <w:p w14:paraId="28ACBB79" w14:textId="77777777" w:rsidR="00654E99" w:rsidRPr="005B4D5D" w:rsidRDefault="00654E99" w:rsidP="00D60BF0">
      <w:pPr>
        <w:rPr>
          <w:rFonts w:ascii="Arial" w:hAnsi="Arial" w:cs="Arial"/>
        </w:rPr>
      </w:pPr>
    </w:p>
    <w:p w14:paraId="04C1DACF" w14:textId="77777777" w:rsidR="00654E99" w:rsidRPr="005B4D5D" w:rsidRDefault="00654E99" w:rsidP="00D60BF0">
      <w:pPr>
        <w:rPr>
          <w:rFonts w:ascii="Arial" w:hAnsi="Arial" w:cs="Arial"/>
        </w:rPr>
      </w:pPr>
    </w:p>
    <w:p w14:paraId="4037DA88" w14:textId="77ACBE72" w:rsidR="00D60BF0" w:rsidRPr="005B4D5D" w:rsidRDefault="00D60BF0" w:rsidP="00D60BF0">
      <w:pPr>
        <w:rPr>
          <w:rFonts w:ascii="Arial" w:hAnsi="Arial" w:cs="Arial"/>
        </w:rPr>
      </w:pPr>
      <w:r w:rsidRPr="005B4D5D">
        <w:rPr>
          <w:rFonts w:ascii="Arial" w:hAnsi="Arial" w:cs="Arial"/>
        </w:rPr>
        <w:t>The gender imbalance within our non</w:t>
      </w:r>
      <w:r w:rsidRPr="005B4D5D">
        <w:rPr>
          <w:rFonts w:ascii="Arial" w:hAnsi="Arial" w:cs="Arial"/>
        </w:rPr>
        <w:noBreakHyphen/>
        <w:t>manager workforce is a contributing factor to our pay distribution outcomes and remains an area for targeted attention.</w:t>
      </w:r>
    </w:p>
    <w:p w14:paraId="39C764C7" w14:textId="77777777" w:rsidR="00D60BF0" w:rsidRPr="005B4D5D" w:rsidRDefault="00000000" w:rsidP="00D60BF0">
      <w:pPr>
        <w:rPr>
          <w:rFonts w:ascii="Arial" w:hAnsi="Arial" w:cs="Arial"/>
        </w:rPr>
      </w:pPr>
      <w:r>
        <w:rPr>
          <w:rFonts w:ascii="Arial" w:hAnsi="Arial" w:cs="Arial"/>
        </w:rPr>
        <w:pict w14:anchorId="360422D9">
          <v:rect id="_x0000_i1027" style="width:0;height:1.5pt" o:hralign="center" o:hrstd="t" o:hr="t" fillcolor="#a0a0a0" stroked="f"/>
        </w:pict>
      </w:r>
    </w:p>
    <w:p w14:paraId="31720A2C" w14:textId="77777777" w:rsidR="00D60BF0" w:rsidRPr="005B4D5D" w:rsidRDefault="00D60BF0" w:rsidP="00D60BF0">
      <w:pPr>
        <w:rPr>
          <w:rFonts w:ascii="Arial" w:hAnsi="Arial" w:cs="Arial"/>
          <w:b/>
          <w:bCs/>
        </w:rPr>
      </w:pPr>
      <w:r w:rsidRPr="005B4D5D">
        <w:rPr>
          <w:rFonts w:ascii="Arial" w:hAnsi="Arial" w:cs="Arial"/>
          <w:b/>
          <w:bCs/>
        </w:rPr>
        <w:t>Pay Distribution &amp; Workforce Structure</w:t>
      </w:r>
    </w:p>
    <w:p w14:paraId="7EFD18B1" w14:textId="77777777" w:rsidR="00D60BF0" w:rsidRPr="005B4D5D" w:rsidRDefault="00D60BF0" w:rsidP="00D60BF0">
      <w:pPr>
        <w:rPr>
          <w:rFonts w:ascii="Arial" w:hAnsi="Arial" w:cs="Arial"/>
        </w:rPr>
      </w:pPr>
      <w:r w:rsidRPr="005B4D5D">
        <w:rPr>
          <w:rFonts w:ascii="Arial" w:hAnsi="Arial" w:cs="Arial"/>
        </w:rPr>
        <w:t>Analysis of pay quartiles shows that:</w:t>
      </w:r>
    </w:p>
    <w:p w14:paraId="4EA92EEB" w14:textId="597D5FC5" w:rsidR="00D60BF0" w:rsidRPr="005B4D5D" w:rsidRDefault="00D60BF0" w:rsidP="00D60BF0">
      <w:pPr>
        <w:numPr>
          <w:ilvl w:val="0"/>
          <w:numId w:val="5"/>
        </w:numPr>
        <w:rPr>
          <w:rFonts w:ascii="Arial" w:hAnsi="Arial" w:cs="Arial"/>
        </w:rPr>
      </w:pPr>
      <w:r w:rsidRPr="2D31420D">
        <w:rPr>
          <w:rFonts w:ascii="Arial" w:hAnsi="Arial" w:cs="Arial"/>
        </w:rPr>
        <w:t xml:space="preserve">Men are concentrated in the upper and </w:t>
      </w:r>
      <w:r w:rsidR="224ED863" w:rsidRPr="2D31420D">
        <w:rPr>
          <w:rFonts w:ascii="Arial" w:hAnsi="Arial" w:cs="Arial"/>
        </w:rPr>
        <w:t>upper middle</w:t>
      </w:r>
      <w:r w:rsidRPr="2D31420D">
        <w:rPr>
          <w:rFonts w:ascii="Arial" w:hAnsi="Arial" w:cs="Arial"/>
        </w:rPr>
        <w:t xml:space="preserve"> pay quartiles (71% and 68% respectively</w:t>
      </w:r>
      <w:proofErr w:type="gramStart"/>
      <w:r w:rsidRPr="2D31420D">
        <w:rPr>
          <w:rFonts w:ascii="Arial" w:hAnsi="Arial" w:cs="Arial"/>
        </w:rPr>
        <w:t>),</w:t>
      </w:r>
      <w:r w:rsidRPr="005B4D5D">
        <w:rPr>
          <w:rFonts w:ascii="Arial" w:hAnsi="Arial" w:cs="Arial"/>
        </w:rPr>
        <w:noBreakHyphen/>
      </w:r>
      <w:proofErr w:type="gramEnd"/>
      <w:r w:rsidRPr="005B4D5D">
        <w:rPr>
          <w:rFonts w:ascii="Arial" w:hAnsi="Arial" w:cs="Arial"/>
        </w:rPr>
        <w:t>middle pay quartiles (71% and 68% respectively),</w:t>
      </w:r>
    </w:p>
    <w:p w14:paraId="4B79C782" w14:textId="57C1B6D0" w:rsidR="00D60BF0" w:rsidRPr="005B4D5D" w:rsidRDefault="00D60BF0" w:rsidP="00D60BF0">
      <w:pPr>
        <w:numPr>
          <w:ilvl w:val="0"/>
          <w:numId w:val="5"/>
        </w:numPr>
        <w:rPr>
          <w:rFonts w:ascii="Arial" w:hAnsi="Arial" w:cs="Arial"/>
        </w:rPr>
      </w:pPr>
      <w:r w:rsidRPr="005B4D5D">
        <w:rPr>
          <w:rFonts w:ascii="Arial" w:hAnsi="Arial" w:cs="Arial"/>
        </w:rPr>
        <w:t>While women are more represented in the lower quartiles.</w:t>
      </w:r>
    </w:p>
    <w:p w14:paraId="19E7B3C6" w14:textId="113919BB" w:rsidR="00D60BF0" w:rsidRPr="005B4D5D" w:rsidRDefault="00D60BF0" w:rsidP="00D60BF0">
      <w:pPr>
        <w:rPr>
          <w:rFonts w:ascii="Arial" w:hAnsi="Arial" w:cs="Arial"/>
        </w:rPr>
      </w:pPr>
      <w:r w:rsidRPr="2D31420D">
        <w:rPr>
          <w:rFonts w:ascii="Arial" w:hAnsi="Arial" w:cs="Arial"/>
        </w:rPr>
        <w:t xml:space="preserve">This distribution highlights an opportunity to better support equitable representation across role types, job levels, and pathways into </w:t>
      </w:r>
      <w:r w:rsidR="043B5B2E" w:rsidRPr="2D31420D">
        <w:rPr>
          <w:rFonts w:ascii="Arial" w:hAnsi="Arial" w:cs="Arial"/>
        </w:rPr>
        <w:t>higher paid</w:t>
      </w:r>
      <w:r w:rsidRPr="2D31420D">
        <w:rPr>
          <w:rFonts w:ascii="Arial" w:hAnsi="Arial" w:cs="Arial"/>
        </w:rPr>
        <w:t xml:space="preserve"> </w:t>
      </w:r>
      <w:proofErr w:type="gramStart"/>
      <w:r w:rsidRPr="2D31420D">
        <w:rPr>
          <w:rFonts w:ascii="Arial" w:hAnsi="Arial" w:cs="Arial"/>
        </w:rPr>
        <w:t>roles.</w:t>
      </w:r>
      <w:r w:rsidRPr="005B4D5D">
        <w:rPr>
          <w:rFonts w:ascii="Arial" w:hAnsi="Arial" w:cs="Arial"/>
        </w:rPr>
        <w:noBreakHyphen/>
      </w:r>
      <w:proofErr w:type="gramEnd"/>
      <w:r w:rsidRPr="005B4D5D">
        <w:rPr>
          <w:rFonts w:ascii="Arial" w:hAnsi="Arial" w:cs="Arial"/>
        </w:rPr>
        <w:t>paid roles.</w:t>
      </w:r>
    </w:p>
    <w:p w14:paraId="68E87BD5" w14:textId="77777777" w:rsidR="00D60BF0" w:rsidRPr="005B4D5D" w:rsidRDefault="00000000" w:rsidP="00D60BF0">
      <w:pPr>
        <w:rPr>
          <w:rFonts w:ascii="Arial" w:hAnsi="Arial" w:cs="Arial"/>
        </w:rPr>
      </w:pPr>
      <w:r>
        <w:rPr>
          <w:rFonts w:ascii="Arial" w:hAnsi="Arial" w:cs="Arial"/>
        </w:rPr>
        <w:pict w14:anchorId="57B9B3BA">
          <v:rect id="_x0000_i1028" style="width:0;height:1.5pt" o:hralign="center" o:hrstd="t" o:hr="t" fillcolor="#a0a0a0" stroked="f"/>
        </w:pict>
      </w:r>
    </w:p>
    <w:p w14:paraId="39E39077" w14:textId="77777777" w:rsidR="00D60BF0" w:rsidRPr="005B4D5D" w:rsidRDefault="00D60BF0" w:rsidP="00D60BF0">
      <w:pPr>
        <w:rPr>
          <w:rFonts w:ascii="Arial" w:hAnsi="Arial" w:cs="Arial"/>
          <w:b/>
          <w:bCs/>
        </w:rPr>
      </w:pPr>
      <w:r w:rsidRPr="005B4D5D">
        <w:rPr>
          <w:rFonts w:ascii="Arial" w:hAnsi="Arial" w:cs="Arial"/>
          <w:b/>
          <w:bCs/>
        </w:rPr>
        <w:t>Our Commitment and Next Steps</w:t>
      </w:r>
    </w:p>
    <w:p w14:paraId="6A2A0942" w14:textId="77777777" w:rsidR="00D60BF0" w:rsidRPr="005B4D5D" w:rsidRDefault="00D60BF0" w:rsidP="00D60BF0">
      <w:pPr>
        <w:rPr>
          <w:rFonts w:ascii="Arial" w:hAnsi="Arial" w:cs="Arial"/>
        </w:rPr>
      </w:pPr>
      <w:r w:rsidRPr="005B4D5D">
        <w:rPr>
          <w:rFonts w:ascii="Arial" w:hAnsi="Arial" w:cs="Arial"/>
        </w:rPr>
        <w:t>While our overall gender pay gap is low, we recognise there are opportunities for continued improvement. To support ongoing gender equity, we will focus on:</w:t>
      </w:r>
    </w:p>
    <w:p w14:paraId="69B2159F" w14:textId="77777777" w:rsidR="00D60BF0" w:rsidRPr="005B4D5D" w:rsidRDefault="00D60BF0" w:rsidP="00D60BF0">
      <w:pPr>
        <w:rPr>
          <w:rFonts w:ascii="Arial" w:hAnsi="Arial" w:cs="Arial"/>
          <w:b/>
          <w:bCs/>
        </w:rPr>
      </w:pPr>
      <w:r w:rsidRPr="005B4D5D">
        <w:rPr>
          <w:rFonts w:ascii="Arial" w:hAnsi="Arial" w:cs="Arial"/>
          <w:b/>
          <w:bCs/>
        </w:rPr>
        <w:t>1. Strengthening Pathways and Progression</w:t>
      </w:r>
    </w:p>
    <w:p w14:paraId="6FF45D22" w14:textId="77777777" w:rsidR="00D60BF0" w:rsidRPr="005B4D5D" w:rsidRDefault="00D60BF0" w:rsidP="00D60BF0">
      <w:pPr>
        <w:rPr>
          <w:rFonts w:ascii="Arial" w:hAnsi="Arial" w:cs="Arial"/>
        </w:rPr>
      </w:pPr>
      <w:r w:rsidRPr="005B4D5D">
        <w:rPr>
          <w:rFonts w:ascii="Arial" w:hAnsi="Arial" w:cs="Arial"/>
        </w:rPr>
        <w:t>Undertaking targeted analysis of promotion pathways, role design, and development opportunities to ensure women and men have equitable access to advancement.</w:t>
      </w:r>
    </w:p>
    <w:p w14:paraId="0CA5E288" w14:textId="705EB4AD" w:rsidR="00D60BF0" w:rsidRPr="005B4D5D" w:rsidRDefault="00D60BF0" w:rsidP="00D60BF0">
      <w:pPr>
        <w:rPr>
          <w:rFonts w:ascii="Arial" w:hAnsi="Arial" w:cs="Arial"/>
          <w:b/>
          <w:bCs/>
        </w:rPr>
      </w:pPr>
      <w:r w:rsidRPr="2D31420D">
        <w:rPr>
          <w:rFonts w:ascii="Arial" w:hAnsi="Arial" w:cs="Arial"/>
          <w:b/>
          <w:bCs/>
        </w:rPr>
        <w:t xml:space="preserve">2. Improving Gender Balance Across </w:t>
      </w:r>
      <w:r w:rsidR="29EE73DC" w:rsidRPr="2D31420D">
        <w:rPr>
          <w:rFonts w:ascii="Arial" w:hAnsi="Arial" w:cs="Arial"/>
          <w:b/>
          <w:bCs/>
        </w:rPr>
        <w:t>Nonmanager</w:t>
      </w:r>
      <w:r w:rsidRPr="2D31420D">
        <w:rPr>
          <w:rFonts w:ascii="Arial" w:hAnsi="Arial" w:cs="Arial"/>
          <w:b/>
          <w:bCs/>
        </w:rPr>
        <w:t xml:space="preserve"> Roles</w:t>
      </w:r>
      <w:r w:rsidRPr="005B4D5D">
        <w:rPr>
          <w:rFonts w:ascii="Arial" w:hAnsi="Arial" w:cs="Arial"/>
          <w:b/>
          <w:bCs/>
        </w:rPr>
        <w:noBreakHyphen/>
        <w:t>Manager Roles</w:t>
      </w:r>
    </w:p>
    <w:p w14:paraId="52F03493" w14:textId="3930E25D" w:rsidR="00D60BF0" w:rsidRPr="005B4D5D" w:rsidRDefault="00D60BF0" w:rsidP="00D60BF0">
      <w:pPr>
        <w:rPr>
          <w:rFonts w:ascii="Arial" w:hAnsi="Arial" w:cs="Arial"/>
        </w:rPr>
      </w:pPr>
      <w:r w:rsidRPr="005B4D5D">
        <w:rPr>
          <w:rFonts w:ascii="Arial" w:hAnsi="Arial" w:cs="Arial"/>
        </w:rPr>
        <w:t>Reviewing our recruitment and retention strategies to support better representation across all occupational groups and levels.</w:t>
      </w:r>
    </w:p>
    <w:p w14:paraId="641DDBF1" w14:textId="77777777" w:rsidR="00D60BF0" w:rsidRPr="005B4D5D" w:rsidRDefault="00D60BF0" w:rsidP="00D60BF0">
      <w:pPr>
        <w:rPr>
          <w:rFonts w:ascii="Arial" w:hAnsi="Arial" w:cs="Arial"/>
          <w:b/>
          <w:bCs/>
        </w:rPr>
      </w:pPr>
      <w:r w:rsidRPr="005B4D5D">
        <w:rPr>
          <w:rFonts w:ascii="Arial" w:hAnsi="Arial" w:cs="Arial"/>
          <w:b/>
          <w:bCs/>
        </w:rPr>
        <w:t>3. Continuing Transparent Pay Practices</w:t>
      </w:r>
    </w:p>
    <w:p w14:paraId="688BA602" w14:textId="1424D414" w:rsidR="00D60BF0" w:rsidRPr="005B4D5D" w:rsidRDefault="00D60BF0" w:rsidP="00D60BF0">
      <w:pPr>
        <w:rPr>
          <w:rFonts w:ascii="Arial" w:hAnsi="Arial" w:cs="Arial"/>
        </w:rPr>
      </w:pPr>
      <w:r w:rsidRPr="2D31420D">
        <w:rPr>
          <w:rFonts w:ascii="Arial" w:hAnsi="Arial" w:cs="Arial"/>
        </w:rPr>
        <w:t xml:space="preserve">Maintaining structured remuneration processes to preserve our strong base salary equity outcomes and ensure fair, consistent </w:t>
      </w:r>
      <w:r w:rsidR="4B7B6E13" w:rsidRPr="2D31420D">
        <w:rPr>
          <w:rFonts w:ascii="Arial" w:hAnsi="Arial" w:cs="Arial"/>
        </w:rPr>
        <w:t>decision-</w:t>
      </w:r>
      <w:proofErr w:type="gramStart"/>
      <w:r w:rsidR="4B7B6E13" w:rsidRPr="2D31420D">
        <w:rPr>
          <w:rFonts w:ascii="Arial" w:hAnsi="Arial" w:cs="Arial"/>
        </w:rPr>
        <w:t>making</w:t>
      </w:r>
      <w:r w:rsidRPr="2D31420D">
        <w:rPr>
          <w:rFonts w:ascii="Arial" w:hAnsi="Arial" w:cs="Arial"/>
        </w:rPr>
        <w:t>.</w:t>
      </w:r>
      <w:r w:rsidRPr="005B4D5D">
        <w:rPr>
          <w:rFonts w:ascii="Arial" w:hAnsi="Arial" w:cs="Arial"/>
        </w:rPr>
        <w:noBreakHyphen/>
      </w:r>
      <w:proofErr w:type="gramEnd"/>
      <w:r w:rsidRPr="005B4D5D">
        <w:rPr>
          <w:rFonts w:ascii="Arial" w:hAnsi="Arial" w:cs="Arial"/>
        </w:rPr>
        <w:t>making.</w:t>
      </w:r>
    </w:p>
    <w:p w14:paraId="506C856C" w14:textId="77777777" w:rsidR="00D60BF0" w:rsidRPr="005B4D5D" w:rsidRDefault="00D60BF0" w:rsidP="00D60BF0">
      <w:pPr>
        <w:rPr>
          <w:rFonts w:ascii="Arial" w:hAnsi="Arial" w:cs="Arial"/>
          <w:b/>
          <w:bCs/>
        </w:rPr>
      </w:pPr>
      <w:r w:rsidRPr="005B4D5D">
        <w:rPr>
          <w:rFonts w:ascii="Arial" w:hAnsi="Arial" w:cs="Arial"/>
          <w:b/>
          <w:bCs/>
        </w:rPr>
        <w:t>4. Monitoring, Reviewing, and Reporting</w:t>
      </w:r>
    </w:p>
    <w:p w14:paraId="6E47733F" w14:textId="04740D41" w:rsidR="00D60BF0" w:rsidRPr="005B4D5D" w:rsidRDefault="00D60BF0" w:rsidP="00D60BF0">
      <w:pPr>
        <w:rPr>
          <w:rFonts w:ascii="Arial" w:hAnsi="Arial" w:cs="Arial"/>
        </w:rPr>
      </w:pPr>
      <w:r w:rsidRPr="2D31420D">
        <w:rPr>
          <w:rFonts w:ascii="Arial" w:hAnsi="Arial" w:cs="Arial"/>
        </w:rPr>
        <w:t xml:space="preserve">Embedding ongoing </w:t>
      </w:r>
      <w:proofErr w:type="gramStart"/>
      <w:r w:rsidR="253E8BD1" w:rsidRPr="2D31420D">
        <w:rPr>
          <w:rFonts w:ascii="Arial" w:hAnsi="Arial" w:cs="Arial"/>
        </w:rPr>
        <w:t>gender based</w:t>
      </w:r>
      <w:proofErr w:type="gramEnd"/>
      <w:r w:rsidRPr="2D31420D">
        <w:rPr>
          <w:rFonts w:ascii="Arial" w:hAnsi="Arial" w:cs="Arial"/>
        </w:rPr>
        <w:t xml:space="preserve"> analysis into HR practices to track progress, identify barriers, and engage with employees and leaders across the </w:t>
      </w:r>
      <w:proofErr w:type="gramStart"/>
      <w:r w:rsidRPr="2D31420D">
        <w:rPr>
          <w:rFonts w:ascii="Arial" w:hAnsi="Arial" w:cs="Arial"/>
        </w:rPr>
        <w:t>organisation.</w:t>
      </w:r>
      <w:r w:rsidRPr="005B4D5D">
        <w:rPr>
          <w:rFonts w:ascii="Arial" w:hAnsi="Arial" w:cs="Arial"/>
        </w:rPr>
        <w:noBreakHyphen/>
      </w:r>
      <w:proofErr w:type="gramEnd"/>
      <w:r w:rsidRPr="005B4D5D">
        <w:rPr>
          <w:rFonts w:ascii="Arial" w:hAnsi="Arial" w:cs="Arial"/>
        </w:rPr>
        <w:t>based analysis into HR practices to track progress, identify barriers, and engage with employees and leaders across the organisation.</w:t>
      </w:r>
    </w:p>
    <w:p w14:paraId="461D311F" w14:textId="77777777" w:rsidR="00D60BF0" w:rsidRPr="005B4D5D" w:rsidRDefault="00000000" w:rsidP="00D60BF0">
      <w:pPr>
        <w:rPr>
          <w:rFonts w:ascii="Arial" w:hAnsi="Arial" w:cs="Arial"/>
        </w:rPr>
      </w:pPr>
      <w:r>
        <w:rPr>
          <w:rFonts w:ascii="Arial" w:hAnsi="Arial" w:cs="Arial"/>
        </w:rPr>
        <w:pict w14:anchorId="0A30C429">
          <v:rect id="_x0000_i1029" style="width:0;height:1.5pt" o:hralign="center" o:hrstd="t" o:hr="t" fillcolor="#a0a0a0" stroked="f"/>
        </w:pict>
      </w:r>
    </w:p>
    <w:p w14:paraId="68F24834" w14:textId="77777777" w:rsidR="00D60BF0" w:rsidRPr="005B4D5D" w:rsidRDefault="00D60BF0" w:rsidP="00D60BF0">
      <w:pPr>
        <w:rPr>
          <w:rFonts w:ascii="Arial" w:hAnsi="Arial" w:cs="Arial"/>
          <w:b/>
          <w:bCs/>
        </w:rPr>
      </w:pPr>
      <w:r w:rsidRPr="005B4D5D">
        <w:rPr>
          <w:rFonts w:ascii="Arial" w:hAnsi="Arial" w:cs="Arial"/>
          <w:b/>
          <w:bCs/>
        </w:rPr>
        <w:t>Our Commitment to an Inclusive Future</w:t>
      </w:r>
    </w:p>
    <w:p w14:paraId="31C8D9D8" w14:textId="571EBC2B" w:rsidR="00D60BF0" w:rsidRPr="005B4D5D" w:rsidRDefault="00D60BF0" w:rsidP="00D60BF0">
      <w:pPr>
        <w:rPr>
          <w:rFonts w:ascii="Arial" w:hAnsi="Arial" w:cs="Arial"/>
        </w:rPr>
      </w:pPr>
      <w:r w:rsidRPr="2D31420D">
        <w:rPr>
          <w:rFonts w:ascii="Arial" w:hAnsi="Arial" w:cs="Arial"/>
        </w:rPr>
        <w:lastRenderedPageBreak/>
        <w:t xml:space="preserve">HomePlace remains committed to a workplace where everyone feels safe, respected, and supported to thrive—regardless of gender. We acknowledge the areas where </w:t>
      </w:r>
      <w:proofErr w:type="gramStart"/>
      <w:r w:rsidRPr="2D31420D">
        <w:rPr>
          <w:rFonts w:ascii="Arial" w:hAnsi="Arial" w:cs="Arial"/>
        </w:rPr>
        <w:t xml:space="preserve">improvement </w:t>
      </w:r>
      <w:r w:rsidR="1C6ABE46" w:rsidRPr="2D31420D">
        <w:rPr>
          <w:rFonts w:ascii="Arial" w:hAnsi="Arial" w:cs="Arial"/>
        </w:rPr>
        <w:t xml:space="preserve"> </w:t>
      </w:r>
      <w:r w:rsidRPr="2D31420D">
        <w:rPr>
          <w:rFonts w:ascii="Arial" w:hAnsi="Arial" w:cs="Arial"/>
        </w:rPr>
        <w:t>is</w:t>
      </w:r>
      <w:proofErr w:type="gramEnd"/>
      <w:r w:rsidRPr="2D31420D">
        <w:rPr>
          <w:rFonts w:ascii="Arial" w:hAnsi="Arial" w:cs="Arial"/>
        </w:rPr>
        <w:t xml:space="preserve"> required and are dedicated to ongoing action that strengthens gender equity throughout our organisation.</w:t>
      </w:r>
    </w:p>
    <w:p w14:paraId="18668851" w14:textId="1CE7872A" w:rsidR="00D60BF0" w:rsidRPr="005B4D5D" w:rsidRDefault="00D60BF0">
      <w:pPr>
        <w:rPr>
          <w:rFonts w:ascii="Arial" w:hAnsi="Arial" w:cs="Arial"/>
        </w:rPr>
      </w:pPr>
      <w:r w:rsidRPr="005B4D5D">
        <w:rPr>
          <w:rFonts w:ascii="Arial" w:hAnsi="Arial" w:cs="Arial"/>
        </w:rPr>
        <w:t>By aligning our efforts with our core values and fostering a culture of trust and partnership, we will continue to build a more inclusive and sustainable workplace for all.</w:t>
      </w:r>
    </w:p>
    <w:p w14:paraId="53490B4C" w14:textId="24D69603" w:rsidR="00ED05E2" w:rsidRPr="005B4D5D" w:rsidRDefault="00EE25C7">
      <w:pPr>
        <w:rPr>
          <w:rFonts w:ascii="Arial" w:hAnsi="Arial" w:cs="Arial"/>
          <w:b/>
          <w:bCs/>
          <w:color w:val="EE0000"/>
        </w:rPr>
      </w:pPr>
      <w:r w:rsidRPr="005B4D5D">
        <w:rPr>
          <w:rFonts w:ascii="Arial" w:hAnsi="Arial" w:cs="Arial"/>
          <w:b/>
          <w:bCs/>
          <w:color w:val="EE0000"/>
        </w:rPr>
        <w:t>Short form – social media etc</w:t>
      </w:r>
    </w:p>
    <w:p w14:paraId="1C17A31B" w14:textId="77777777" w:rsidR="0068550C" w:rsidRPr="005B4D5D" w:rsidRDefault="0068550C" w:rsidP="0068550C">
      <w:pPr>
        <w:rPr>
          <w:rFonts w:ascii="Arial" w:hAnsi="Arial" w:cs="Arial"/>
        </w:rPr>
      </w:pPr>
      <w:r w:rsidRPr="005B4D5D">
        <w:rPr>
          <w:rFonts w:ascii="Arial" w:hAnsi="Arial" w:cs="Arial"/>
          <w:b/>
          <w:bCs/>
        </w:rPr>
        <w:t>HomePlace Living Supports Inc. | Reporting Period 2024–25</w:t>
      </w:r>
    </w:p>
    <w:p w14:paraId="51D909FD" w14:textId="4E1F5423" w:rsidR="0068550C" w:rsidRPr="005B4D5D" w:rsidRDefault="0068550C" w:rsidP="0068550C">
      <w:pPr>
        <w:rPr>
          <w:rFonts w:ascii="Arial" w:hAnsi="Arial" w:cs="Arial"/>
        </w:rPr>
      </w:pPr>
      <w:r w:rsidRPr="005B4D5D">
        <w:rPr>
          <w:rFonts w:ascii="Arial" w:hAnsi="Arial" w:cs="Arial"/>
        </w:rPr>
        <w:t xml:space="preserve">At HomePlace, we are committed to a workplace built on </w:t>
      </w:r>
      <w:r w:rsidRPr="005B4D5D">
        <w:rPr>
          <w:rFonts w:ascii="Arial" w:hAnsi="Arial" w:cs="Arial"/>
          <w:b/>
          <w:bCs/>
        </w:rPr>
        <w:t>Trust, Safety, Respect, and Enduring Partnerships</w:t>
      </w:r>
      <w:r w:rsidRPr="005B4D5D">
        <w:rPr>
          <w:rFonts w:ascii="Arial" w:hAnsi="Arial" w:cs="Arial"/>
        </w:rPr>
        <w:t xml:space="preserve">. Our latest WGEA gender equality results show we are performing strongly, with a </w:t>
      </w:r>
      <w:r w:rsidRPr="005B4D5D">
        <w:rPr>
          <w:rFonts w:ascii="Arial" w:hAnsi="Arial" w:cs="Arial"/>
          <w:b/>
          <w:bCs/>
        </w:rPr>
        <w:t>low overall gender pay gap</w:t>
      </w:r>
      <w:r w:rsidRPr="005B4D5D">
        <w:rPr>
          <w:rFonts w:ascii="Arial" w:hAnsi="Arial" w:cs="Arial"/>
        </w:rPr>
        <w:t xml:space="preserve"> and </w:t>
      </w:r>
      <w:r w:rsidRPr="005B4D5D">
        <w:rPr>
          <w:rFonts w:ascii="Arial" w:hAnsi="Arial" w:cs="Arial"/>
          <w:b/>
          <w:bCs/>
        </w:rPr>
        <w:t>balanced representation in leadership roles</w:t>
      </w:r>
      <w:r w:rsidRPr="005B4D5D">
        <w:rPr>
          <w:rFonts w:ascii="Arial" w:hAnsi="Arial" w:cs="Arial"/>
        </w:rPr>
        <w:t>.</w:t>
      </w:r>
      <w:r w:rsidRPr="005B4D5D">
        <w:rPr>
          <w:rFonts w:ascii="Arial" w:hAnsi="Arial" w:cs="Arial"/>
        </w:rPr>
        <w:br/>
      </w:r>
    </w:p>
    <w:p w14:paraId="0E611E2F" w14:textId="77777777" w:rsidR="0068550C" w:rsidRPr="005B4D5D" w:rsidRDefault="0068550C" w:rsidP="0068550C">
      <w:pPr>
        <w:rPr>
          <w:rFonts w:ascii="Arial" w:hAnsi="Arial" w:cs="Arial"/>
          <w:b/>
          <w:bCs/>
        </w:rPr>
      </w:pPr>
      <w:r w:rsidRPr="005B4D5D">
        <w:rPr>
          <w:rFonts w:ascii="Arial" w:hAnsi="Arial" w:cs="Arial"/>
          <w:b/>
          <w:bCs/>
        </w:rPr>
        <w:t>Key Highlights</w:t>
      </w:r>
    </w:p>
    <w:p w14:paraId="3ECF9A6F" w14:textId="77777777" w:rsidR="0068550C" w:rsidRPr="005B4D5D" w:rsidRDefault="0068550C" w:rsidP="0068550C">
      <w:pPr>
        <w:numPr>
          <w:ilvl w:val="0"/>
          <w:numId w:val="6"/>
        </w:numPr>
        <w:rPr>
          <w:rFonts w:ascii="Arial" w:hAnsi="Arial" w:cs="Arial"/>
        </w:rPr>
      </w:pPr>
      <w:r w:rsidRPr="005B4D5D">
        <w:rPr>
          <w:rFonts w:ascii="Arial" w:hAnsi="Arial" w:cs="Arial"/>
          <w:b/>
          <w:bCs/>
        </w:rPr>
        <w:t>Average total remuneration gap:</w:t>
      </w:r>
      <w:r w:rsidRPr="005B4D5D">
        <w:rPr>
          <w:rFonts w:ascii="Arial" w:hAnsi="Arial" w:cs="Arial"/>
        </w:rPr>
        <w:t xml:space="preserve"> 2.5% (men slightly higher)</w:t>
      </w:r>
    </w:p>
    <w:p w14:paraId="3D64785B" w14:textId="77777777" w:rsidR="0068550C" w:rsidRPr="005B4D5D" w:rsidRDefault="0068550C" w:rsidP="0068550C">
      <w:pPr>
        <w:numPr>
          <w:ilvl w:val="0"/>
          <w:numId w:val="6"/>
        </w:numPr>
        <w:rPr>
          <w:rFonts w:ascii="Arial" w:hAnsi="Arial" w:cs="Arial"/>
        </w:rPr>
      </w:pPr>
      <w:r w:rsidRPr="005B4D5D">
        <w:rPr>
          <w:rFonts w:ascii="Arial" w:hAnsi="Arial" w:cs="Arial"/>
          <w:b/>
          <w:bCs/>
        </w:rPr>
        <w:t>Median total remuneration gap:</w:t>
      </w:r>
      <w:r w:rsidRPr="005B4D5D">
        <w:rPr>
          <w:rFonts w:ascii="Arial" w:hAnsi="Arial" w:cs="Arial"/>
        </w:rPr>
        <w:t xml:space="preserve"> 0.0%</w:t>
      </w:r>
    </w:p>
    <w:p w14:paraId="526A0157" w14:textId="1254A6C4" w:rsidR="0068550C" w:rsidRPr="005B4D5D" w:rsidRDefault="0068550C" w:rsidP="0068550C">
      <w:pPr>
        <w:numPr>
          <w:ilvl w:val="0"/>
          <w:numId w:val="6"/>
        </w:numPr>
        <w:rPr>
          <w:rFonts w:ascii="Arial" w:hAnsi="Arial" w:cs="Arial"/>
        </w:rPr>
      </w:pPr>
      <w:r w:rsidRPr="005B4D5D">
        <w:rPr>
          <w:rFonts w:ascii="Arial" w:hAnsi="Arial" w:cs="Arial"/>
          <w:b/>
          <w:bCs/>
        </w:rPr>
        <w:t>Leadership representation:</w:t>
      </w:r>
      <w:r w:rsidRPr="005B4D5D">
        <w:rPr>
          <w:rFonts w:ascii="Arial" w:hAnsi="Arial" w:cs="Arial"/>
        </w:rPr>
        <w:t xml:space="preserve"> 50% women, 50% men</w:t>
      </w:r>
      <w:r w:rsidRPr="005B4D5D">
        <w:rPr>
          <w:rFonts w:ascii="Arial" w:hAnsi="Arial" w:cs="Arial"/>
        </w:rPr>
        <w:br/>
      </w:r>
    </w:p>
    <w:p w14:paraId="47C24EFB" w14:textId="77777777" w:rsidR="0068550C" w:rsidRPr="005B4D5D" w:rsidRDefault="0068550C" w:rsidP="0068550C">
      <w:pPr>
        <w:rPr>
          <w:rFonts w:ascii="Arial" w:hAnsi="Arial" w:cs="Arial"/>
          <w:b/>
          <w:bCs/>
        </w:rPr>
      </w:pPr>
      <w:r w:rsidRPr="005B4D5D">
        <w:rPr>
          <w:rFonts w:ascii="Arial" w:hAnsi="Arial" w:cs="Arial"/>
          <w:b/>
          <w:bCs/>
        </w:rPr>
        <w:t>Areas for Improvement</w:t>
      </w:r>
    </w:p>
    <w:p w14:paraId="045CCE00" w14:textId="1E094C1F" w:rsidR="0068550C" w:rsidRPr="005B4D5D" w:rsidRDefault="0068550C" w:rsidP="0068550C">
      <w:pPr>
        <w:rPr>
          <w:rFonts w:ascii="Arial" w:hAnsi="Arial" w:cs="Arial"/>
        </w:rPr>
      </w:pPr>
      <w:r w:rsidRPr="2D31420D">
        <w:rPr>
          <w:rFonts w:ascii="Arial" w:hAnsi="Arial" w:cs="Arial"/>
        </w:rPr>
        <w:t xml:space="preserve">We see opportunities to strengthen gender balance within </w:t>
      </w:r>
      <w:r w:rsidRPr="2D31420D">
        <w:rPr>
          <w:rFonts w:ascii="Arial" w:hAnsi="Arial" w:cs="Arial"/>
          <w:b/>
          <w:bCs/>
        </w:rPr>
        <w:t>nonmanager roles</w:t>
      </w:r>
      <w:r w:rsidRPr="2D31420D">
        <w:rPr>
          <w:rFonts w:ascii="Arial" w:hAnsi="Arial" w:cs="Arial"/>
        </w:rPr>
        <w:t xml:space="preserve">, where more men are currently represented, and to improve distribution across </w:t>
      </w:r>
      <w:r w:rsidR="3F04F428" w:rsidRPr="2D31420D">
        <w:rPr>
          <w:rFonts w:ascii="Arial" w:hAnsi="Arial" w:cs="Arial"/>
        </w:rPr>
        <w:t>higher paid</w:t>
      </w:r>
      <w:r w:rsidRPr="2D31420D">
        <w:rPr>
          <w:rFonts w:ascii="Arial" w:hAnsi="Arial" w:cs="Arial"/>
        </w:rPr>
        <w:t xml:space="preserve"> quartiles.</w:t>
      </w:r>
      <w:r>
        <w:br/>
      </w:r>
      <w:r w:rsidRPr="005B4D5D">
        <w:rPr>
          <w:rFonts w:ascii="Arial" w:hAnsi="Arial" w:cs="Arial"/>
          <w:b/>
          <w:bCs/>
        </w:rPr>
        <w:noBreakHyphen/>
        <w:t>manager roles</w:t>
      </w:r>
      <w:r w:rsidRPr="005B4D5D">
        <w:rPr>
          <w:rFonts w:ascii="Arial" w:hAnsi="Arial" w:cs="Arial"/>
        </w:rPr>
        <w:noBreakHyphen/>
        <w:t>paid quartiles.</w:t>
      </w:r>
    </w:p>
    <w:p w14:paraId="77578F2B" w14:textId="77777777" w:rsidR="0068550C" w:rsidRPr="005B4D5D" w:rsidRDefault="0068550C" w:rsidP="0068550C">
      <w:pPr>
        <w:rPr>
          <w:rFonts w:ascii="Arial" w:hAnsi="Arial" w:cs="Arial"/>
          <w:b/>
          <w:bCs/>
        </w:rPr>
      </w:pPr>
      <w:r w:rsidRPr="005B4D5D">
        <w:rPr>
          <w:rFonts w:ascii="Arial" w:hAnsi="Arial" w:cs="Arial"/>
          <w:b/>
          <w:bCs/>
        </w:rPr>
        <w:t>Our Commitment</w:t>
      </w:r>
    </w:p>
    <w:p w14:paraId="751C5529" w14:textId="77777777" w:rsidR="0068550C" w:rsidRPr="005B4D5D" w:rsidRDefault="0068550C" w:rsidP="0068550C">
      <w:pPr>
        <w:rPr>
          <w:rFonts w:ascii="Arial" w:hAnsi="Arial" w:cs="Arial"/>
        </w:rPr>
      </w:pPr>
      <w:r w:rsidRPr="005B4D5D">
        <w:rPr>
          <w:rFonts w:ascii="Arial" w:hAnsi="Arial" w:cs="Arial"/>
        </w:rPr>
        <w:t>We will continue to:</w:t>
      </w:r>
    </w:p>
    <w:p w14:paraId="5AFBFF80" w14:textId="77777777" w:rsidR="0068550C" w:rsidRPr="005B4D5D" w:rsidRDefault="0068550C" w:rsidP="0068550C">
      <w:pPr>
        <w:numPr>
          <w:ilvl w:val="0"/>
          <w:numId w:val="7"/>
        </w:numPr>
        <w:rPr>
          <w:rFonts w:ascii="Arial" w:hAnsi="Arial" w:cs="Arial"/>
        </w:rPr>
      </w:pPr>
      <w:r w:rsidRPr="005B4D5D">
        <w:rPr>
          <w:rFonts w:ascii="Arial" w:hAnsi="Arial" w:cs="Arial"/>
        </w:rPr>
        <w:t>Review pathways for progression</w:t>
      </w:r>
    </w:p>
    <w:p w14:paraId="1085CA36" w14:textId="77777777" w:rsidR="0068550C" w:rsidRPr="005B4D5D" w:rsidRDefault="0068550C" w:rsidP="0068550C">
      <w:pPr>
        <w:numPr>
          <w:ilvl w:val="0"/>
          <w:numId w:val="7"/>
        </w:numPr>
        <w:rPr>
          <w:rFonts w:ascii="Arial" w:hAnsi="Arial" w:cs="Arial"/>
        </w:rPr>
      </w:pPr>
      <w:r w:rsidRPr="005B4D5D">
        <w:rPr>
          <w:rFonts w:ascii="Arial" w:hAnsi="Arial" w:cs="Arial"/>
        </w:rPr>
        <w:t>Monitor recruitment and retention practices</w:t>
      </w:r>
    </w:p>
    <w:p w14:paraId="77AB44FE" w14:textId="4D558F98" w:rsidR="0068550C" w:rsidRPr="005B4D5D" w:rsidRDefault="0068550C" w:rsidP="0068550C">
      <w:pPr>
        <w:numPr>
          <w:ilvl w:val="0"/>
          <w:numId w:val="7"/>
        </w:numPr>
        <w:rPr>
          <w:rFonts w:ascii="Arial" w:hAnsi="Arial" w:cs="Arial"/>
        </w:rPr>
      </w:pPr>
      <w:r w:rsidRPr="005B4D5D">
        <w:rPr>
          <w:rFonts w:ascii="Arial" w:hAnsi="Arial" w:cs="Arial"/>
        </w:rPr>
        <w:t>Maintain transparent and equitable pay processes</w:t>
      </w:r>
    </w:p>
    <w:p w14:paraId="0082BA24" w14:textId="77777777" w:rsidR="0068550C" w:rsidRPr="005B4D5D" w:rsidRDefault="0068550C" w:rsidP="0068550C">
      <w:pPr>
        <w:rPr>
          <w:rFonts w:ascii="Arial" w:hAnsi="Arial" w:cs="Arial"/>
        </w:rPr>
      </w:pPr>
      <w:r w:rsidRPr="005B4D5D">
        <w:rPr>
          <w:rFonts w:ascii="Arial" w:hAnsi="Arial" w:cs="Arial"/>
        </w:rPr>
        <w:t>HomePlace remains dedicated to building an inclusive environment where all employees can thrive.</w:t>
      </w:r>
    </w:p>
    <w:p w14:paraId="616EEE66" w14:textId="77777777" w:rsidR="00ED05E2" w:rsidRPr="005B4D5D" w:rsidRDefault="00ED05E2">
      <w:pPr>
        <w:rPr>
          <w:rFonts w:ascii="Arial" w:hAnsi="Arial" w:cs="Arial"/>
        </w:rPr>
      </w:pPr>
    </w:p>
    <w:p w14:paraId="1A5EEE10" w14:textId="77777777" w:rsidR="00ED05E2" w:rsidRPr="005B4D5D" w:rsidRDefault="00ED05E2">
      <w:pPr>
        <w:rPr>
          <w:rFonts w:ascii="Arial" w:hAnsi="Arial" w:cs="Arial"/>
        </w:rPr>
      </w:pPr>
    </w:p>
    <w:sectPr w:rsidR="00ED05E2" w:rsidRPr="005B4D5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BD92" w14:textId="77777777" w:rsidR="009923FE" w:rsidRDefault="009923FE" w:rsidP="003D7B29">
      <w:pPr>
        <w:spacing w:after="0" w:line="240" w:lineRule="auto"/>
      </w:pPr>
      <w:r>
        <w:separator/>
      </w:r>
    </w:p>
  </w:endnote>
  <w:endnote w:type="continuationSeparator" w:id="0">
    <w:p w14:paraId="16BA55D3" w14:textId="77777777" w:rsidR="009923FE" w:rsidRDefault="009923FE" w:rsidP="003D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2D42" w14:textId="77777777" w:rsidR="00F73B7B" w:rsidRDefault="00F73B7B"/>
  <w:tbl>
    <w:tblPr>
      <w:tblStyle w:val="TableGrid"/>
      <w:tblW w:w="9832" w:type="dxa"/>
      <w:tblInd w:w="-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
      <w:gridCol w:w="1640"/>
      <w:gridCol w:w="567"/>
      <w:gridCol w:w="2976"/>
      <w:gridCol w:w="426"/>
      <w:gridCol w:w="3736"/>
    </w:tblGrid>
    <w:tr w:rsidR="005C2FDF" w:rsidRPr="00327E81" w14:paraId="4C7E9E16" w14:textId="77777777" w:rsidTr="005C2FDF">
      <w:trPr>
        <w:trHeight w:val="825"/>
      </w:trPr>
      <w:tc>
        <w:tcPr>
          <w:tcW w:w="487" w:type="dxa"/>
          <w:vAlign w:val="center"/>
        </w:tcPr>
        <w:p w14:paraId="25431C5D" w14:textId="77777777" w:rsidR="005C2FDF" w:rsidRDefault="005C2FDF" w:rsidP="005C2FDF">
          <w:pPr>
            <w:pStyle w:val="Header"/>
            <w:jc w:val="center"/>
          </w:pPr>
          <w:r>
            <w:rPr>
              <w:noProof/>
            </w:rPr>
            <w:drawing>
              <wp:inline distT="0" distB="0" distL="0" distR="0" wp14:anchorId="6A2293F4" wp14:editId="4B92DA19">
                <wp:extent cx="168812" cy="168812"/>
                <wp:effectExtent l="0" t="0" r="3175" b="3175"/>
                <wp:docPr id="18297115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115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9656" cy="169656"/>
                        </a:xfrm>
                        <a:prstGeom prst="rect">
                          <a:avLst/>
                        </a:prstGeom>
                      </pic:spPr>
                    </pic:pic>
                  </a:graphicData>
                </a:graphic>
              </wp:inline>
            </w:drawing>
          </w:r>
        </w:p>
      </w:tc>
      <w:tc>
        <w:tcPr>
          <w:tcW w:w="1640" w:type="dxa"/>
          <w:vAlign w:val="center"/>
        </w:tcPr>
        <w:p w14:paraId="1AA3D808" w14:textId="77777777" w:rsidR="005C2FDF" w:rsidRPr="00327E81" w:rsidRDefault="005C2FDF" w:rsidP="005C2FDF">
          <w:pPr>
            <w:pStyle w:val="Header"/>
          </w:pPr>
          <w:r w:rsidRPr="00327E81">
            <w:t>(08) 8</w:t>
          </w:r>
          <w:r>
            <w:t>445 9900</w:t>
          </w:r>
        </w:p>
      </w:tc>
      <w:tc>
        <w:tcPr>
          <w:tcW w:w="567" w:type="dxa"/>
          <w:vAlign w:val="center"/>
        </w:tcPr>
        <w:p w14:paraId="1AA35FE2" w14:textId="77777777" w:rsidR="005C2FDF" w:rsidRPr="00327E81" w:rsidRDefault="005C2FDF" w:rsidP="005C2FDF">
          <w:pPr>
            <w:pStyle w:val="Header"/>
          </w:pPr>
          <w:r>
            <w:rPr>
              <w:noProof/>
            </w:rPr>
            <w:drawing>
              <wp:inline distT="0" distB="0" distL="0" distR="0" wp14:anchorId="5BC5BE7B" wp14:editId="4C2966E0">
                <wp:extent cx="225083" cy="168812"/>
                <wp:effectExtent l="0" t="0" r="3810" b="3175"/>
                <wp:docPr id="20979373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37333" name=""/>
                        <pic:cNvPicPr/>
                      </pic:nvPicPr>
                      <pic:blipFill>
                        <a:blip r:embed="rId3">
                          <a:extLst>
                            <a:ext uri="{96DAC541-7B7A-43D3-8B79-37D633B846F1}">
                              <asvg:svgBlip xmlns:asvg="http://schemas.microsoft.com/office/drawing/2016/SVG/main" r:embed="rId4"/>
                            </a:ext>
                          </a:extLst>
                        </a:blip>
                        <a:stretch>
                          <a:fillRect/>
                        </a:stretch>
                      </pic:blipFill>
                      <pic:spPr>
                        <a:xfrm>
                          <a:off x="0" y="0"/>
                          <a:ext cx="228755" cy="171566"/>
                        </a:xfrm>
                        <a:prstGeom prst="rect">
                          <a:avLst/>
                        </a:prstGeom>
                      </pic:spPr>
                    </pic:pic>
                  </a:graphicData>
                </a:graphic>
              </wp:inline>
            </w:drawing>
          </w:r>
        </w:p>
      </w:tc>
      <w:tc>
        <w:tcPr>
          <w:tcW w:w="2976" w:type="dxa"/>
          <w:vAlign w:val="center"/>
        </w:tcPr>
        <w:p w14:paraId="08A224B1" w14:textId="77777777" w:rsidR="005C2FDF" w:rsidRPr="00327E81" w:rsidRDefault="005C2FDF" w:rsidP="005C2FDF">
          <w:pPr>
            <w:pStyle w:val="Header"/>
          </w:pPr>
          <w:r>
            <w:t>admin@homeplace.com.au</w:t>
          </w:r>
        </w:p>
      </w:tc>
      <w:tc>
        <w:tcPr>
          <w:tcW w:w="426" w:type="dxa"/>
          <w:vAlign w:val="center"/>
        </w:tcPr>
        <w:p w14:paraId="4F6647A2" w14:textId="77777777" w:rsidR="005C2FDF" w:rsidRDefault="005C2FDF" w:rsidP="005C2FDF">
          <w:pPr>
            <w:pStyle w:val="Header"/>
          </w:pPr>
          <w:r>
            <w:rPr>
              <w:noProof/>
            </w:rPr>
            <w:drawing>
              <wp:inline distT="0" distB="0" distL="0" distR="0" wp14:anchorId="6B5C7251" wp14:editId="549A908D">
                <wp:extent cx="126610" cy="183366"/>
                <wp:effectExtent l="0" t="0" r="0" b="3810"/>
                <wp:docPr id="11594729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32544" name=""/>
                        <pic:cNvPicPr/>
                      </pic:nvPicPr>
                      <pic:blipFill>
                        <a:blip r:embed="rId5">
                          <a:extLst>
                            <a:ext uri="{96DAC541-7B7A-43D3-8B79-37D633B846F1}">
                              <asvg:svgBlip xmlns:asvg="http://schemas.microsoft.com/office/drawing/2016/SVG/main" r:embed="rId6"/>
                            </a:ext>
                          </a:extLst>
                        </a:blip>
                        <a:stretch>
                          <a:fillRect/>
                        </a:stretch>
                      </pic:blipFill>
                      <pic:spPr>
                        <a:xfrm>
                          <a:off x="0" y="0"/>
                          <a:ext cx="126610" cy="183366"/>
                        </a:xfrm>
                        <a:prstGeom prst="rect">
                          <a:avLst/>
                        </a:prstGeom>
                      </pic:spPr>
                    </pic:pic>
                  </a:graphicData>
                </a:graphic>
              </wp:inline>
            </w:drawing>
          </w:r>
        </w:p>
      </w:tc>
      <w:tc>
        <w:tcPr>
          <w:tcW w:w="3736" w:type="dxa"/>
          <w:vAlign w:val="center"/>
        </w:tcPr>
        <w:p w14:paraId="21D6E792" w14:textId="77777777" w:rsidR="005C2FDF" w:rsidRDefault="005C2FDF" w:rsidP="005C2FDF">
          <w:pPr>
            <w:pStyle w:val="Header"/>
          </w:pPr>
          <w:r w:rsidRPr="003D7B29">
            <w:t>19-21 Belmore Terrace,</w:t>
          </w:r>
          <w:r>
            <w:t xml:space="preserve"> </w:t>
          </w:r>
          <w:r w:rsidRPr="003D7B29">
            <w:t xml:space="preserve">Woodville </w:t>
          </w:r>
          <w:r>
            <w:br/>
          </w:r>
          <w:r w:rsidRPr="003D7B29">
            <w:t>South Australia 5011</w:t>
          </w:r>
          <w:r>
            <w:t xml:space="preserve"> </w:t>
          </w:r>
          <w:r w:rsidRPr="003D7B29">
            <w:t>(Building No. 6)</w:t>
          </w:r>
        </w:p>
      </w:tc>
    </w:tr>
  </w:tbl>
  <w:p w14:paraId="308387DC" w14:textId="77777777" w:rsidR="005C2FDF" w:rsidRDefault="005C2FDF">
    <w:pPr>
      <w:pStyle w:val="Footer"/>
    </w:pPr>
  </w:p>
  <w:p w14:paraId="40FFE2E8" w14:textId="77777777" w:rsidR="005C2FDF" w:rsidRDefault="005C2FDF">
    <w:pPr>
      <w:pStyle w:val="Footer"/>
    </w:pPr>
  </w:p>
  <w:p w14:paraId="33B0ABE8" w14:textId="77777777" w:rsidR="003D7B29" w:rsidRDefault="00F73B7B">
    <w:pPr>
      <w:pStyle w:val="Footer"/>
    </w:pPr>
    <w:r>
      <w:rPr>
        <w:noProof/>
      </w:rPr>
      <w:drawing>
        <wp:anchor distT="0" distB="0" distL="114300" distR="114300" simplePos="0" relativeHeight="251661312" behindDoc="1" locked="0" layoutInCell="1" allowOverlap="1" wp14:anchorId="48A84644" wp14:editId="7A9C7EC2">
          <wp:simplePos x="0" y="0"/>
          <wp:positionH relativeFrom="column">
            <wp:posOffset>2802353</wp:posOffset>
          </wp:positionH>
          <wp:positionV relativeFrom="paragraph">
            <wp:posOffset>14605</wp:posOffset>
          </wp:positionV>
          <wp:extent cx="5288915" cy="992505"/>
          <wp:effectExtent l="0" t="0" r="6985" b="0"/>
          <wp:wrapTight wrapText="bothSides">
            <wp:wrapPolygon edited="0">
              <wp:start x="3734" y="0"/>
              <wp:lineTo x="1789" y="6219"/>
              <wp:lineTo x="0" y="6633"/>
              <wp:lineTo x="0" y="13267"/>
              <wp:lineTo x="3190" y="13267"/>
              <wp:lineTo x="2956" y="19071"/>
              <wp:lineTo x="4201" y="19900"/>
              <wp:lineTo x="12526" y="21144"/>
              <wp:lineTo x="18517" y="21144"/>
              <wp:lineTo x="21551" y="19071"/>
              <wp:lineTo x="21551" y="18242"/>
              <wp:lineTo x="20306" y="13267"/>
              <wp:lineTo x="19450" y="6633"/>
              <wp:lineTo x="19528" y="4975"/>
              <wp:lineTo x="18128" y="1658"/>
              <wp:lineTo x="16416" y="0"/>
              <wp:lineTo x="3734" y="0"/>
            </wp:wrapPolygon>
          </wp:wrapTight>
          <wp:docPr id="16986062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0859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288915" cy="992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0B7D36F" wp14:editId="07372604">
          <wp:simplePos x="0" y="0"/>
          <wp:positionH relativeFrom="column">
            <wp:posOffset>-2194560</wp:posOffset>
          </wp:positionH>
          <wp:positionV relativeFrom="paragraph">
            <wp:posOffset>70485</wp:posOffset>
          </wp:positionV>
          <wp:extent cx="5288915" cy="992505"/>
          <wp:effectExtent l="0" t="0" r="6985" b="0"/>
          <wp:wrapTight wrapText="bothSides">
            <wp:wrapPolygon edited="0">
              <wp:start x="3734" y="0"/>
              <wp:lineTo x="1789" y="6219"/>
              <wp:lineTo x="0" y="6633"/>
              <wp:lineTo x="0" y="13267"/>
              <wp:lineTo x="3190" y="13267"/>
              <wp:lineTo x="2956" y="19071"/>
              <wp:lineTo x="4201" y="19900"/>
              <wp:lineTo x="12526" y="21144"/>
              <wp:lineTo x="18517" y="21144"/>
              <wp:lineTo x="21551" y="19071"/>
              <wp:lineTo x="21551" y="18242"/>
              <wp:lineTo x="20306" y="13267"/>
              <wp:lineTo x="19450" y="6633"/>
              <wp:lineTo x="19528" y="4975"/>
              <wp:lineTo x="18128" y="1658"/>
              <wp:lineTo x="16416" y="0"/>
              <wp:lineTo x="3734" y="0"/>
            </wp:wrapPolygon>
          </wp:wrapTight>
          <wp:docPr id="7523085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0859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288915" cy="9925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5C97" w14:textId="77777777" w:rsidR="009923FE" w:rsidRDefault="009923FE" w:rsidP="003D7B29">
      <w:pPr>
        <w:spacing w:after="0" w:line="240" w:lineRule="auto"/>
      </w:pPr>
      <w:r>
        <w:separator/>
      </w:r>
    </w:p>
  </w:footnote>
  <w:footnote w:type="continuationSeparator" w:id="0">
    <w:p w14:paraId="45DE8AF9" w14:textId="77777777" w:rsidR="009923FE" w:rsidRDefault="009923FE" w:rsidP="003D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8109" w14:textId="53B7F2C7" w:rsidR="003D7B29" w:rsidRPr="005C2FDF" w:rsidRDefault="005C2FDF" w:rsidP="005C2FDF">
    <w:pPr>
      <w:jc w:val="right"/>
      <w:rPr>
        <w:rFonts w:ascii="Arial" w:hAnsi="Arial" w:cs="Arial"/>
        <w:sz w:val="18"/>
        <w:szCs w:val="18"/>
      </w:rPr>
    </w:pPr>
    <w:r>
      <w:rPr>
        <w:noProof/>
      </w:rPr>
      <w:drawing>
        <wp:anchor distT="0" distB="0" distL="114300" distR="114300" simplePos="0" relativeHeight="251658240" behindDoc="1" locked="0" layoutInCell="1" allowOverlap="1" wp14:anchorId="046EFB29" wp14:editId="30A5F7DD">
          <wp:simplePos x="0" y="0"/>
          <wp:positionH relativeFrom="margin">
            <wp:posOffset>-635</wp:posOffset>
          </wp:positionH>
          <wp:positionV relativeFrom="paragraph">
            <wp:posOffset>169545</wp:posOffset>
          </wp:positionV>
          <wp:extent cx="2621280" cy="714375"/>
          <wp:effectExtent l="0" t="0" r="7620" b="9525"/>
          <wp:wrapTight wrapText="bothSides">
            <wp:wrapPolygon edited="0">
              <wp:start x="2198" y="0"/>
              <wp:lineTo x="785" y="3456"/>
              <wp:lineTo x="471" y="5184"/>
              <wp:lineTo x="785" y="9216"/>
              <wp:lineTo x="0" y="9792"/>
              <wp:lineTo x="0" y="18432"/>
              <wp:lineTo x="2198" y="18432"/>
              <wp:lineTo x="2198" y="21312"/>
              <wp:lineTo x="2983" y="21312"/>
              <wp:lineTo x="21506" y="19584"/>
              <wp:lineTo x="21506" y="2304"/>
              <wp:lineTo x="3140" y="0"/>
              <wp:lineTo x="2198" y="0"/>
            </wp:wrapPolygon>
          </wp:wrapTight>
          <wp:docPr id="3138719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719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2621280" cy="714375"/>
                  </a:xfrm>
                  <a:prstGeom prst="rect">
                    <a:avLst/>
                  </a:prstGeom>
                </pic:spPr>
              </pic:pic>
            </a:graphicData>
          </a:graphic>
          <wp14:sizeRelH relativeFrom="margin">
            <wp14:pctWidth>0</wp14:pctWidth>
          </wp14:sizeRelH>
          <wp14:sizeRelV relativeFrom="margin">
            <wp14:pctHeight>0</wp14:pctHeight>
          </wp14:sizeRelV>
        </wp:anchor>
      </w:drawing>
    </w:r>
  </w:p>
  <w:p w14:paraId="3B1E0984" w14:textId="77777777" w:rsidR="003D7B29" w:rsidRDefault="003D7B29">
    <w:pPr>
      <w:pStyle w:val="Header"/>
    </w:pPr>
  </w:p>
  <w:p w14:paraId="6690B115" w14:textId="77777777" w:rsidR="003D7B29" w:rsidRDefault="003D7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ED6"/>
    <w:multiLevelType w:val="multilevel"/>
    <w:tmpl w:val="8EA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6459"/>
    <w:multiLevelType w:val="multilevel"/>
    <w:tmpl w:val="FDCE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81FC5"/>
    <w:multiLevelType w:val="multilevel"/>
    <w:tmpl w:val="E59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D20A9"/>
    <w:multiLevelType w:val="multilevel"/>
    <w:tmpl w:val="56A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C5B6F"/>
    <w:multiLevelType w:val="multilevel"/>
    <w:tmpl w:val="F030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56409"/>
    <w:multiLevelType w:val="multilevel"/>
    <w:tmpl w:val="010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3164C"/>
    <w:multiLevelType w:val="multilevel"/>
    <w:tmpl w:val="2B1A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336103">
    <w:abstractNumId w:val="0"/>
  </w:num>
  <w:num w:numId="2" w16cid:durableId="967710106">
    <w:abstractNumId w:val="1"/>
  </w:num>
  <w:num w:numId="3" w16cid:durableId="1173226017">
    <w:abstractNumId w:val="6"/>
  </w:num>
  <w:num w:numId="4" w16cid:durableId="900142115">
    <w:abstractNumId w:val="4"/>
  </w:num>
  <w:num w:numId="5" w16cid:durableId="1441031759">
    <w:abstractNumId w:val="3"/>
  </w:num>
  <w:num w:numId="6" w16cid:durableId="942347252">
    <w:abstractNumId w:val="5"/>
  </w:num>
  <w:num w:numId="7" w16cid:durableId="1948391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BD"/>
    <w:rsid w:val="000628C9"/>
    <w:rsid w:val="00064D02"/>
    <w:rsid w:val="00154724"/>
    <w:rsid w:val="001723BD"/>
    <w:rsid w:val="001C15CD"/>
    <w:rsid w:val="002B7EA6"/>
    <w:rsid w:val="00351801"/>
    <w:rsid w:val="00395B49"/>
    <w:rsid w:val="003D7B29"/>
    <w:rsid w:val="004357B7"/>
    <w:rsid w:val="005B4D5D"/>
    <w:rsid w:val="005C2FDF"/>
    <w:rsid w:val="00654E99"/>
    <w:rsid w:val="0068550C"/>
    <w:rsid w:val="00794009"/>
    <w:rsid w:val="007A6F2C"/>
    <w:rsid w:val="00833E5A"/>
    <w:rsid w:val="00873A30"/>
    <w:rsid w:val="008860C4"/>
    <w:rsid w:val="008A7ABD"/>
    <w:rsid w:val="009923FE"/>
    <w:rsid w:val="00AF50C0"/>
    <w:rsid w:val="00BA2F9D"/>
    <w:rsid w:val="00BB2284"/>
    <w:rsid w:val="00C23764"/>
    <w:rsid w:val="00C70BC3"/>
    <w:rsid w:val="00D2672F"/>
    <w:rsid w:val="00D60BF0"/>
    <w:rsid w:val="00D72F49"/>
    <w:rsid w:val="00DC5F4F"/>
    <w:rsid w:val="00ED05E2"/>
    <w:rsid w:val="00EE25C7"/>
    <w:rsid w:val="00F656CB"/>
    <w:rsid w:val="00F73B7B"/>
    <w:rsid w:val="043B5B2E"/>
    <w:rsid w:val="1C6ABE46"/>
    <w:rsid w:val="224ED863"/>
    <w:rsid w:val="253E8BD1"/>
    <w:rsid w:val="29EE73DC"/>
    <w:rsid w:val="2D31420D"/>
    <w:rsid w:val="3F04F428"/>
    <w:rsid w:val="4B7B6E13"/>
    <w:rsid w:val="5C03D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E2B3"/>
  <w15:chartTrackingRefBased/>
  <w15:docId w15:val="{60F560EB-1B97-4E1C-83FE-946B3959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29"/>
    <w:pPr>
      <w:spacing w:line="259" w:lineRule="auto"/>
    </w:pPr>
    <w:rPr>
      <w:sz w:val="22"/>
      <w:szCs w:val="22"/>
    </w:rPr>
  </w:style>
  <w:style w:type="paragraph" w:styleId="Heading1">
    <w:name w:val="heading 1"/>
    <w:basedOn w:val="Normal"/>
    <w:next w:val="Normal"/>
    <w:link w:val="Heading1Char"/>
    <w:uiPriority w:val="9"/>
    <w:qFormat/>
    <w:rsid w:val="003D7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B29"/>
    <w:rPr>
      <w:rFonts w:eastAsiaTheme="majorEastAsia" w:cstheme="majorBidi"/>
      <w:color w:val="272727" w:themeColor="text1" w:themeTint="D8"/>
    </w:rPr>
  </w:style>
  <w:style w:type="paragraph" w:styleId="Title">
    <w:name w:val="Title"/>
    <w:basedOn w:val="Normal"/>
    <w:next w:val="Normal"/>
    <w:link w:val="TitleChar"/>
    <w:uiPriority w:val="10"/>
    <w:qFormat/>
    <w:rsid w:val="003D7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B29"/>
    <w:pPr>
      <w:spacing w:before="160"/>
      <w:jc w:val="center"/>
    </w:pPr>
    <w:rPr>
      <w:i/>
      <w:iCs/>
      <w:color w:val="404040" w:themeColor="text1" w:themeTint="BF"/>
    </w:rPr>
  </w:style>
  <w:style w:type="character" w:customStyle="1" w:styleId="QuoteChar">
    <w:name w:val="Quote Char"/>
    <w:basedOn w:val="DefaultParagraphFont"/>
    <w:link w:val="Quote"/>
    <w:uiPriority w:val="29"/>
    <w:rsid w:val="003D7B29"/>
    <w:rPr>
      <w:i/>
      <w:iCs/>
      <w:color w:val="404040" w:themeColor="text1" w:themeTint="BF"/>
    </w:rPr>
  </w:style>
  <w:style w:type="paragraph" w:styleId="ListParagraph">
    <w:name w:val="List Paragraph"/>
    <w:basedOn w:val="Normal"/>
    <w:uiPriority w:val="34"/>
    <w:qFormat/>
    <w:rsid w:val="003D7B29"/>
    <w:pPr>
      <w:ind w:left="720"/>
      <w:contextualSpacing/>
    </w:pPr>
  </w:style>
  <w:style w:type="character" w:styleId="IntenseEmphasis">
    <w:name w:val="Intense Emphasis"/>
    <w:basedOn w:val="DefaultParagraphFont"/>
    <w:uiPriority w:val="21"/>
    <w:qFormat/>
    <w:rsid w:val="003D7B29"/>
    <w:rPr>
      <w:i/>
      <w:iCs/>
      <w:color w:val="0F4761" w:themeColor="accent1" w:themeShade="BF"/>
    </w:rPr>
  </w:style>
  <w:style w:type="paragraph" w:styleId="IntenseQuote">
    <w:name w:val="Intense Quote"/>
    <w:basedOn w:val="Normal"/>
    <w:next w:val="Normal"/>
    <w:link w:val="IntenseQuoteChar"/>
    <w:uiPriority w:val="30"/>
    <w:qFormat/>
    <w:rsid w:val="003D7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B29"/>
    <w:rPr>
      <w:i/>
      <w:iCs/>
      <w:color w:val="0F4761" w:themeColor="accent1" w:themeShade="BF"/>
    </w:rPr>
  </w:style>
  <w:style w:type="character" w:styleId="IntenseReference">
    <w:name w:val="Intense Reference"/>
    <w:basedOn w:val="DefaultParagraphFont"/>
    <w:uiPriority w:val="32"/>
    <w:qFormat/>
    <w:rsid w:val="003D7B29"/>
    <w:rPr>
      <w:b/>
      <w:bCs/>
      <w:smallCaps/>
      <w:color w:val="0F4761" w:themeColor="accent1" w:themeShade="BF"/>
      <w:spacing w:val="5"/>
    </w:rPr>
  </w:style>
  <w:style w:type="paragraph" w:styleId="Header">
    <w:name w:val="header"/>
    <w:basedOn w:val="Normal"/>
    <w:link w:val="HeaderChar"/>
    <w:uiPriority w:val="99"/>
    <w:unhideWhenUsed/>
    <w:rsid w:val="003D7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B29"/>
  </w:style>
  <w:style w:type="paragraph" w:styleId="Footer">
    <w:name w:val="footer"/>
    <w:basedOn w:val="Normal"/>
    <w:link w:val="FooterChar"/>
    <w:uiPriority w:val="99"/>
    <w:unhideWhenUsed/>
    <w:rsid w:val="003D7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29"/>
  </w:style>
  <w:style w:type="table" w:styleId="TableGrid">
    <w:name w:val="Table Grid"/>
    <w:basedOn w:val="TableNormal"/>
    <w:uiPriority w:val="39"/>
    <w:rsid w:val="003D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7B2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D60BF0"/>
    <w:rPr>
      <w:color w:val="467886" w:themeColor="hyperlink"/>
      <w:u w:val="single"/>
    </w:rPr>
  </w:style>
  <w:style w:type="character" w:styleId="UnresolvedMention">
    <w:name w:val="Unresolved Mention"/>
    <w:basedOn w:val="DefaultParagraphFont"/>
    <w:uiPriority w:val="99"/>
    <w:semiHidden/>
    <w:unhideWhenUsed/>
    <w:rsid w:val="00D6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Bowman\AppData\Local\Microsoft\Windows\INetCache\Content.Outlook\V3MO0K3E\HMPL2505-CollatLetterhead-work-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D8A242F23D4C95E7DED039020B11" ma:contentTypeVersion="13" ma:contentTypeDescription="Create a new document." ma:contentTypeScope="" ma:versionID="e8f7fb79b4e777759fc2460913389103">
  <xsd:schema xmlns:xsd="http://www.w3.org/2001/XMLSchema" xmlns:xs="http://www.w3.org/2001/XMLSchema" xmlns:p="http://schemas.microsoft.com/office/2006/metadata/properties" xmlns:ns2="0f4ef42c-2c8c-4e85-9cb3-a505e6b9e6c3" xmlns:ns3="3f530729-ee54-4e66-80f2-02f990770809" targetNamespace="http://schemas.microsoft.com/office/2006/metadata/properties" ma:root="true" ma:fieldsID="94d75c0f101fa60f453fd24f96130ff0" ns2:_="" ns3:_="">
    <xsd:import namespace="0f4ef42c-2c8c-4e85-9cb3-a505e6b9e6c3"/>
    <xsd:import namespace="3f530729-ee54-4e66-80f2-02f990770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ef42c-2c8c-4e85-9cb3-a505e6b9e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161705-4cba-45b2-8131-aace677ef4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30729-ee54-4e66-80f2-02f990770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2a7ef-a91e-47c9-b0fc-dd27f82b12ff}" ma:internalName="TaxCatchAll" ma:showField="CatchAllData" ma:web="3f530729-ee54-4e66-80f2-02f9907708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530729-ee54-4e66-80f2-02f990770809" xsi:nil="true"/>
    <lcf76f155ced4ddcb4097134ff3c332f xmlns="0f4ef42c-2c8c-4e85-9cb3-a505e6b9e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AA488F-DDE1-4122-9CE7-C43D8D3A18F6}">
  <ds:schemaRefs>
    <ds:schemaRef ds:uri="http://schemas.microsoft.com/sharepoint/v3/contenttype/forms"/>
  </ds:schemaRefs>
</ds:datastoreItem>
</file>

<file path=customXml/itemProps2.xml><?xml version="1.0" encoding="utf-8"?>
<ds:datastoreItem xmlns:ds="http://schemas.openxmlformats.org/officeDocument/2006/customXml" ds:itemID="{93640AF9-723A-47B5-8C87-F16A39BB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ef42c-2c8c-4e85-9cb3-a505e6b9e6c3"/>
    <ds:schemaRef ds:uri="3f530729-ee54-4e66-80f2-02f99077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F0795-8529-48C7-95C4-98CF08EAF08D}">
  <ds:schemaRefs>
    <ds:schemaRef ds:uri="http://schemas.microsoft.com/office/2006/metadata/properties"/>
    <ds:schemaRef ds:uri="http://schemas.microsoft.com/office/infopath/2007/PartnerControls"/>
    <ds:schemaRef ds:uri="3f530729-ee54-4e66-80f2-02f990770809"/>
    <ds:schemaRef ds:uri="0f4ef42c-2c8c-4e85-9cb3-a505e6b9e6c3"/>
  </ds:schemaRefs>
</ds:datastoreItem>
</file>

<file path=docProps/app.xml><?xml version="1.0" encoding="utf-8"?>
<Properties xmlns="http://schemas.openxmlformats.org/officeDocument/2006/extended-properties" xmlns:vt="http://schemas.openxmlformats.org/officeDocument/2006/docPropsVTypes">
  <Template>HMPL2505-CollatLetterhead-work-02.dotx</Template>
  <TotalTime>1</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Bowman</dc:creator>
  <cp:keywords/>
  <dc:description/>
  <cp:lastModifiedBy>Alexis Treulieb</cp:lastModifiedBy>
  <cp:revision>2</cp:revision>
  <dcterms:created xsi:type="dcterms:W3CDTF">2026-02-13T00:46:00Z</dcterms:created>
  <dcterms:modified xsi:type="dcterms:W3CDTF">2026-02-13T00:46:00Z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0x010100BF4FD8A242F23D4C95E7DED039020B11</vt:lpwstr>
  </property>
</Properties>
</file>